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2019836</w:t>
      </w:r>
      <w:bookmarkEnd w:id="0"/>
    </w:p>
    <w:p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:rsidR="0029140B" w:rsidRDefault="008F6665" w:rsidP="006D55FB">
      <w:pPr>
        <w:pStyle w:val="David"/>
        <w:spacing w:before="0"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יהודה גליק</w:t>
      </w:r>
      <w:r>
        <w:br/>
      </w:r>
      <w:r>
        <w:rPr>
          <w:rFonts w:hint="cs"/>
          <w:b/>
          <w:bCs/>
          <w:rtl/>
        </w:rPr>
        <w:t xml:space="preserve"> </w:t>
      </w:r>
      <w:bookmarkEnd w:id="3"/>
      <w:r w:rsidR="0029140B">
        <w:rPr>
          <w:b/>
          <w:bCs/>
          <w:rtl/>
        </w:rPr>
        <w:tab/>
      </w:r>
      <w:r w:rsidR="0029140B">
        <w:rPr>
          <w:b/>
          <w:bCs/>
          <w:rtl/>
        </w:rPr>
        <w:tab/>
      </w:r>
      <w:r w:rsidR="0029140B">
        <w:rPr>
          <w:b/>
          <w:bCs/>
          <w:rtl/>
        </w:rPr>
        <w:tab/>
      </w:r>
      <w:r w:rsidR="0029140B">
        <w:rPr>
          <w:b/>
          <w:bCs/>
          <w:rtl/>
        </w:rPr>
        <w:tab/>
      </w:r>
      <w:r w:rsidR="0029140B">
        <w:rPr>
          <w:rFonts w:hint="cs"/>
          <w:b/>
          <w:bCs/>
          <w:rtl/>
        </w:rPr>
        <w:t>תמר זנדברג</w:t>
      </w:r>
    </w:p>
    <w:p w:rsidR="0029140B" w:rsidRDefault="0029140B" w:rsidP="006D55FB">
      <w:pPr>
        <w:pStyle w:val="David"/>
        <w:spacing w:before="0" w:line="360" w:lineRule="auto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מיקי רוזנטל</w:t>
      </w:r>
    </w:p>
    <w:p w:rsidR="0029140B" w:rsidRDefault="0029140B" w:rsidP="006D55FB">
      <w:pPr>
        <w:pStyle w:val="David"/>
        <w:spacing w:before="0" w:line="360" w:lineRule="auto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נורית קורן</w:t>
      </w:r>
    </w:p>
    <w:p w:rsidR="0029140B" w:rsidRDefault="0029140B" w:rsidP="006D55FB">
      <w:pPr>
        <w:pStyle w:val="David"/>
        <w:spacing w:before="0" w:line="360" w:lineRule="auto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איתן כבל</w:t>
      </w:r>
    </w:p>
    <w:p w:rsidR="0029140B" w:rsidRDefault="0029140B" w:rsidP="006D55FB">
      <w:pPr>
        <w:pStyle w:val="David"/>
        <w:spacing w:before="0" w:line="360" w:lineRule="auto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יעקב </w:t>
      </w:r>
      <w:proofErr w:type="spellStart"/>
      <w:r>
        <w:rPr>
          <w:rFonts w:hint="cs"/>
          <w:b/>
          <w:bCs/>
          <w:rtl/>
        </w:rPr>
        <w:t>מרגי</w:t>
      </w:r>
      <w:proofErr w:type="spellEnd"/>
    </w:p>
    <w:p w:rsidR="0029140B" w:rsidRDefault="0029140B" w:rsidP="006D55FB">
      <w:pPr>
        <w:pStyle w:val="David"/>
        <w:spacing w:before="0" w:line="360" w:lineRule="auto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מיכאל </w:t>
      </w:r>
      <w:proofErr w:type="spellStart"/>
      <w:r>
        <w:rPr>
          <w:rFonts w:hint="cs"/>
          <w:b/>
          <w:bCs/>
          <w:rtl/>
        </w:rPr>
        <w:t>מלכיאלי</w:t>
      </w:r>
      <w:proofErr w:type="spellEnd"/>
    </w:p>
    <w:p w:rsidR="0029140B" w:rsidRDefault="0029140B" w:rsidP="006D55FB">
      <w:pPr>
        <w:pStyle w:val="David"/>
        <w:spacing w:before="0" w:line="360" w:lineRule="auto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מיקי </w:t>
      </w:r>
      <w:proofErr w:type="spellStart"/>
      <w:r>
        <w:rPr>
          <w:rFonts w:hint="cs"/>
          <w:b/>
          <w:bCs/>
          <w:rtl/>
        </w:rPr>
        <w:t>מכלוף</w:t>
      </w:r>
      <w:proofErr w:type="spellEnd"/>
      <w:r>
        <w:rPr>
          <w:rFonts w:hint="cs"/>
          <w:b/>
          <w:bCs/>
          <w:rtl/>
        </w:rPr>
        <w:t xml:space="preserve"> זוהר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 xml:space="preserve">טלי </w:t>
      </w:r>
      <w:proofErr w:type="spellStart"/>
      <w:r>
        <w:rPr>
          <w:rFonts w:hint="cs"/>
          <w:b/>
          <w:bCs/>
          <w:rtl/>
        </w:rPr>
        <w:t>פלוסקוב</w:t>
      </w:r>
      <w:proofErr w:type="spellEnd"/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יעל גרמן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 xml:space="preserve">רויטל </w:t>
      </w:r>
      <w:proofErr w:type="spellStart"/>
      <w:r>
        <w:rPr>
          <w:rFonts w:hint="cs"/>
          <w:b/>
          <w:bCs/>
          <w:rtl/>
        </w:rPr>
        <w:t>סוויד</w:t>
      </w:r>
      <w:proofErr w:type="spellEnd"/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אילן גילאון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בצלאל סמוטריץ'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איתן ברושי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אכרם חסון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עבדאללה אבו מערוף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אברהם נגוסה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דב חנין</w:t>
      </w:r>
    </w:p>
    <w:p w:rsidR="0029140B" w:rsidRDefault="0029140B" w:rsidP="006D55FB">
      <w:pPr>
        <w:pStyle w:val="David"/>
        <w:spacing w:before="0" w:line="360" w:lineRule="auto"/>
        <w:ind w:left="6424" w:firstLine="56"/>
        <w:rPr>
          <w:b/>
          <w:bCs/>
          <w:rtl/>
        </w:rPr>
      </w:pPr>
      <w:r>
        <w:rPr>
          <w:rFonts w:hint="cs"/>
          <w:b/>
          <w:bCs/>
          <w:rtl/>
        </w:rPr>
        <w:t>איל בן ראובן</w:t>
      </w:r>
    </w:p>
    <w:p w:rsidR="00E13C27" w:rsidRPr="00CF1AA2" w:rsidRDefault="0029140B" w:rsidP="006D55FB">
      <w:pPr>
        <w:pStyle w:val="David"/>
        <w:spacing w:before="0" w:line="360" w:lineRule="auto"/>
        <w:ind w:left="6424" w:firstLine="56"/>
        <w:rPr>
          <w:b/>
          <w:bCs/>
          <w:sz w:val="16"/>
          <w:szCs w:val="16"/>
          <w:rtl/>
        </w:rPr>
      </w:pPr>
      <w:r>
        <w:rPr>
          <w:rFonts w:hint="cs"/>
          <w:b/>
          <w:bCs/>
          <w:rtl/>
        </w:rPr>
        <w:t>יעל כהן פארן</w:t>
      </w:r>
      <w:bookmarkStart w:id="4" w:name="LGS_PM_NamesJoin"/>
      <w:r w:rsidR="007D585A">
        <w:rPr>
          <w:rFonts w:hint="cs"/>
          <w:rtl/>
        </w:rPr>
        <w:t xml:space="preserve"> </w:t>
      </w:r>
      <w:bookmarkEnd w:id="4"/>
    </w:p>
    <w:p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 w:rsidR="0029140B">
        <w:t>__________</w:t>
      </w:r>
      <w:r>
        <w:t>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  <w:r w:rsidR="006D55FB">
        <w:rPr>
          <w:rFonts w:hint="cs"/>
          <w:sz w:val="4"/>
          <w:szCs w:val="4"/>
          <w:rtl/>
        </w:rPr>
        <w:t>/</w:t>
      </w:r>
      <w:r w:rsidR="006D55FB">
        <w:rPr>
          <w:rFonts w:hint="cs"/>
          <w:rtl/>
        </w:rPr>
        <w:t>פ/4536/20</w:t>
      </w:r>
    </w:p>
    <w:p w:rsidR="00E13C27" w:rsidRDefault="00A443CF" w:rsidP="006D55FB">
      <w:pPr>
        <w:pStyle w:val="HeadHatzaotHok"/>
        <w:spacing w:line="240" w:lineRule="auto"/>
        <w:rPr>
          <w:rtl/>
        </w:rPr>
      </w:pPr>
      <w:bookmarkStart w:id="5" w:name="LGS_Subject"/>
      <w:r>
        <w:rPr>
          <w:rFonts w:hint="cs"/>
          <w:rtl/>
        </w:rPr>
        <w:t xml:space="preserve">הצעת חוק הגבלת הפרסומת והשיווק של מוצרי טבק (תיקון – איסור מכירה),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cs"/>
          <w:rtl/>
        </w:rPr>
        <w:t>–2017</w:t>
      </w:r>
      <w:bookmarkEnd w:id="5"/>
    </w:p>
    <w:p w:rsidR="00E812D9" w:rsidRDefault="00E812D9" w:rsidP="006D55FB">
      <w:pPr>
        <w:pStyle w:val="HeadHatzaotHok"/>
        <w:spacing w:line="240" w:lineRule="auto"/>
        <w:rPr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624"/>
        <w:gridCol w:w="7143"/>
      </w:tblGrid>
      <w:tr w:rsidR="0011725D" w:rsidTr="008313D5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11725D" w:rsidRDefault="00860C69" w:rsidP="00AB1C36">
            <w:pPr>
              <w:pStyle w:val="TableSideHeading"/>
              <w:tabs>
                <w:tab w:val="clear" w:pos="624"/>
                <w:tab w:val="left" w:pos="140"/>
              </w:tabs>
              <w:rPr>
                <w:rtl/>
              </w:rPr>
            </w:pPr>
            <w:r>
              <w:rPr>
                <w:rFonts w:hint="cs"/>
                <w:rtl/>
              </w:rPr>
              <w:t>תיקון סעיף 8א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11725D" w:rsidRDefault="000D2FAF" w:rsidP="00AB1C3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11725D" w:rsidRDefault="000D2FAF" w:rsidP="00D87F6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בחוק </w:t>
            </w:r>
            <w:r w:rsidRPr="00D87F67">
              <w:rPr>
                <w:rFonts w:hint="cs"/>
                <w:rtl/>
              </w:rPr>
              <w:t>הגבלת הפרסומת</w:t>
            </w:r>
            <w:r>
              <w:rPr>
                <w:rFonts w:hint="cs"/>
                <w:rtl/>
              </w:rPr>
              <w:t xml:space="preserve"> והשיווק של מוצרי טבק, </w:t>
            </w:r>
            <w:proofErr w:type="spellStart"/>
            <w:r>
              <w:rPr>
                <w:rFonts w:hint="cs"/>
                <w:rtl/>
              </w:rPr>
              <w:t>התשמ"ג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1983</w:t>
            </w:r>
            <w:r w:rsidR="000C2765">
              <w:rPr>
                <w:rStyle w:val="a6"/>
                <w:rtl/>
              </w:rPr>
              <w:footnoteReference w:id="2"/>
            </w:r>
            <w:r w:rsidR="000C2765">
              <w:rPr>
                <w:rFonts w:hint="cs"/>
                <w:rtl/>
              </w:rPr>
              <w:t>, בסעיף 8א</w:t>
            </w:r>
            <w:r w:rsidR="000C2765">
              <w:t>–</w:t>
            </w:r>
            <w:r w:rsidR="000C2765">
              <w:rPr>
                <w:rFonts w:hint="cs"/>
              </w:rPr>
              <w:t xml:space="preserve"> </w:t>
            </w:r>
            <w:r w:rsidR="000C2765">
              <w:rPr>
                <w:rFonts w:hint="cs"/>
                <w:rtl/>
              </w:rPr>
              <w:t xml:space="preserve"> </w:t>
            </w:r>
          </w:p>
        </w:tc>
      </w:tr>
      <w:tr w:rsidR="008313D5" w:rsidTr="008313D5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:rsidR="008313D5" w:rsidRDefault="008313D5">
            <w:pPr>
              <w:pStyle w:val="TableSideHeading"/>
            </w:pPr>
          </w:p>
        </w:tc>
        <w:tc>
          <w:tcPr>
            <w:tcW w:w="624" w:type="dxa"/>
          </w:tcPr>
          <w:p w:rsidR="008313D5" w:rsidRPr="00D87F67" w:rsidRDefault="008313D5" w:rsidP="00D87F67">
            <w:pPr>
              <w:pStyle w:val="TableBlock"/>
            </w:pPr>
          </w:p>
        </w:tc>
        <w:tc>
          <w:tcPr>
            <w:tcW w:w="7143" w:type="dxa"/>
          </w:tcPr>
          <w:p w:rsidR="008313D5" w:rsidRPr="008313D5" w:rsidRDefault="008313D5" w:rsidP="008313D5">
            <w:pPr>
              <w:pStyle w:val="TableBlock"/>
            </w:pPr>
            <w:r w:rsidRPr="008313D5">
              <w:rPr>
                <w:rFonts w:hint="cs"/>
                <w:rtl/>
              </w:rPr>
              <w:t>(1)</w:t>
            </w:r>
            <w:r w:rsidRPr="008313D5">
              <w:rPr>
                <w:rtl/>
              </w:rPr>
              <w:tab/>
            </w:r>
            <w:r w:rsidRPr="008313D5">
              <w:rPr>
                <w:rFonts w:hint="cs"/>
                <w:rtl/>
              </w:rPr>
              <w:t>בכותרת השוליים, במקום "לקטין" יבוא "למי שטרם מלאו לו 21 שנים";</w:t>
            </w:r>
          </w:p>
        </w:tc>
      </w:tr>
      <w:tr w:rsidR="008313D5" w:rsidTr="00A34E80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:rsidR="008313D5" w:rsidRPr="008313D5" w:rsidRDefault="008313D5">
            <w:pPr>
              <w:pStyle w:val="TableSideHeading"/>
            </w:pPr>
          </w:p>
        </w:tc>
        <w:tc>
          <w:tcPr>
            <w:tcW w:w="624" w:type="dxa"/>
          </w:tcPr>
          <w:p w:rsidR="008313D5" w:rsidRPr="00D87F67" w:rsidRDefault="008313D5" w:rsidP="00D87F67">
            <w:pPr>
              <w:pStyle w:val="TableBlock"/>
            </w:pPr>
          </w:p>
        </w:tc>
        <w:tc>
          <w:tcPr>
            <w:tcW w:w="7143" w:type="dxa"/>
          </w:tcPr>
          <w:p w:rsidR="008313D5" w:rsidRPr="008313D5" w:rsidRDefault="008313D5" w:rsidP="008313D5">
            <w:pPr>
              <w:pStyle w:val="TableBlock"/>
              <w:rPr>
                <w:rtl/>
              </w:rPr>
            </w:pPr>
            <w:r w:rsidRPr="008313D5">
              <w:rPr>
                <w:rFonts w:hint="cs"/>
                <w:rtl/>
              </w:rPr>
              <w:t>(2)</w:t>
            </w:r>
            <w:r w:rsidRPr="008313D5">
              <w:rPr>
                <w:rtl/>
              </w:rPr>
              <w:tab/>
            </w:r>
            <w:r w:rsidRPr="008313D5">
              <w:rPr>
                <w:rFonts w:hint="cs"/>
                <w:rtl/>
              </w:rPr>
              <w:t>בסעיף קטן (א), במקום "לקטין" יבוא "למי</w:t>
            </w:r>
            <w:r>
              <w:rPr>
                <w:rFonts w:hint="cs"/>
                <w:rtl/>
              </w:rPr>
              <w:t xml:space="preserve"> שטרם מלאו לו 21 שנים</w:t>
            </w:r>
            <w:r w:rsidRPr="008313D5">
              <w:rPr>
                <w:rFonts w:hint="cs"/>
                <w:rtl/>
              </w:rPr>
              <w:t>"</w:t>
            </w:r>
            <w:r w:rsidR="00045B56">
              <w:rPr>
                <w:rFonts w:hint="cs"/>
                <w:rtl/>
              </w:rPr>
              <w:t>;</w:t>
            </w:r>
          </w:p>
        </w:tc>
      </w:tr>
      <w:tr w:rsidR="008313D5" w:rsidTr="00905EF1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:rsidR="008313D5" w:rsidRDefault="008313D5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8313D5" w:rsidRPr="00D87F67" w:rsidRDefault="008313D5" w:rsidP="00D87F67">
            <w:pPr>
              <w:pStyle w:val="TableBlock"/>
            </w:pPr>
          </w:p>
        </w:tc>
        <w:tc>
          <w:tcPr>
            <w:tcW w:w="7143" w:type="dxa"/>
          </w:tcPr>
          <w:p w:rsidR="008313D5" w:rsidRPr="008313D5" w:rsidRDefault="008313D5" w:rsidP="008313D5">
            <w:pPr>
              <w:pStyle w:val="TableBlock"/>
              <w:rPr>
                <w:rtl/>
              </w:rPr>
            </w:pPr>
            <w:r w:rsidRPr="008313D5">
              <w:rPr>
                <w:rFonts w:hint="cs"/>
                <w:rtl/>
              </w:rPr>
              <w:t>(3)</w:t>
            </w:r>
            <w:r w:rsidRPr="008313D5">
              <w:rPr>
                <w:rtl/>
              </w:rPr>
              <w:tab/>
            </w:r>
            <w:r w:rsidRPr="008313D5">
              <w:rPr>
                <w:rFonts w:hint="cs"/>
                <w:rtl/>
              </w:rPr>
              <w:t>בסעיף קטן (א1)</w:t>
            </w:r>
            <w:r w:rsidR="006D55FB">
              <w:rPr>
                <w:rFonts w:hint="cs"/>
                <w:rtl/>
              </w:rPr>
              <w:t>,</w:t>
            </w:r>
            <w:r w:rsidRPr="008313D5">
              <w:rPr>
                <w:rFonts w:hint="cs"/>
                <w:rtl/>
              </w:rPr>
              <w:t xml:space="preserve"> במקום "לקטין" יבוא "למי שטרם מלאו לו 21 שנים".</w:t>
            </w:r>
          </w:p>
        </w:tc>
      </w:tr>
      <w:tr w:rsidR="00D87F67" w:rsidTr="008313D5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:rsidR="00D87F67" w:rsidRDefault="00D87F67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הוראת מעבר</w:t>
            </w:r>
          </w:p>
        </w:tc>
        <w:tc>
          <w:tcPr>
            <w:tcW w:w="624" w:type="dxa"/>
          </w:tcPr>
          <w:p w:rsidR="00D87F67" w:rsidRPr="00D87F67" w:rsidRDefault="00D87F67" w:rsidP="00D87F67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:rsidR="00D87F67" w:rsidRPr="008313D5" w:rsidRDefault="00D22709" w:rsidP="008313D5">
            <w:pPr>
              <w:pStyle w:val="TableBlock"/>
              <w:rPr>
                <w:rtl/>
              </w:rPr>
            </w:pPr>
            <w:r w:rsidRPr="008313D5">
              <w:rPr>
                <w:rFonts w:hint="cs"/>
                <w:rtl/>
              </w:rPr>
              <w:t xml:space="preserve">איסור מכירה, השכרה או השאלת מוצר טבק או מוצר המשמש לעישון טבק, כאמור בסעיף </w:t>
            </w:r>
            <w:r w:rsidR="002C060E" w:rsidRPr="008313D5">
              <w:rPr>
                <w:rFonts w:hint="cs"/>
                <w:rtl/>
              </w:rPr>
              <w:t>8א</w:t>
            </w:r>
            <w:r w:rsidR="00DC3A98" w:rsidRPr="008313D5">
              <w:rPr>
                <w:rFonts w:hint="cs"/>
                <w:rtl/>
              </w:rPr>
              <w:t xml:space="preserve"> </w:t>
            </w:r>
            <w:r w:rsidR="00096958">
              <w:rPr>
                <w:rFonts w:hint="cs"/>
                <w:rtl/>
              </w:rPr>
              <w:t xml:space="preserve">לחוק העיקרי יחולו </w:t>
            </w:r>
            <w:r w:rsidR="00DC3A98" w:rsidRPr="008313D5">
              <w:rPr>
                <w:rFonts w:hint="eastAsia"/>
                <w:rtl/>
              </w:rPr>
              <w:t>–</w:t>
            </w:r>
          </w:p>
        </w:tc>
      </w:tr>
      <w:tr w:rsidR="008313D5" w:rsidTr="003E6A7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:rsidR="008313D5" w:rsidRDefault="008313D5">
            <w:pPr>
              <w:pStyle w:val="TableSideHeading"/>
            </w:pPr>
          </w:p>
        </w:tc>
        <w:tc>
          <w:tcPr>
            <w:tcW w:w="624" w:type="dxa"/>
          </w:tcPr>
          <w:p w:rsidR="008313D5" w:rsidRDefault="008313D5">
            <w:pPr>
              <w:pStyle w:val="TableText"/>
            </w:pPr>
          </w:p>
        </w:tc>
        <w:tc>
          <w:tcPr>
            <w:tcW w:w="7143" w:type="dxa"/>
          </w:tcPr>
          <w:p w:rsidR="008313D5" w:rsidRPr="008313D5" w:rsidRDefault="00096958" w:rsidP="00096958">
            <w:pPr>
              <w:pStyle w:val="TableBlock"/>
            </w:pPr>
            <w:r w:rsidRPr="008313D5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1</w:t>
            </w:r>
            <w:r w:rsidRPr="008313D5">
              <w:rPr>
                <w:rFonts w:hint="cs"/>
                <w:rtl/>
              </w:rPr>
              <w:t>)</w:t>
            </w:r>
            <w:r w:rsidRPr="008313D5">
              <w:rPr>
                <w:rtl/>
              </w:rPr>
              <w:tab/>
            </w:r>
            <w:r>
              <w:rPr>
                <w:rFonts w:hint="cs"/>
                <w:rtl/>
              </w:rPr>
              <w:t>מיום</w:t>
            </w:r>
            <w:r w:rsidRPr="008313D5">
              <w:rPr>
                <w:rFonts w:hint="cs"/>
                <w:rtl/>
              </w:rPr>
              <w:t xml:space="preserve"> י"ד בטבת </w:t>
            </w:r>
            <w:proofErr w:type="spellStart"/>
            <w:r w:rsidRPr="008313D5">
              <w:rPr>
                <w:rFonts w:hint="cs"/>
                <w:rtl/>
              </w:rPr>
              <w:t>התשע"ח</w:t>
            </w:r>
            <w:proofErr w:type="spellEnd"/>
            <w:r w:rsidRPr="008313D5">
              <w:rPr>
                <w:rFonts w:hint="cs"/>
                <w:rtl/>
              </w:rPr>
              <w:t xml:space="preserve"> (1 בינואר 2018) </w:t>
            </w:r>
            <w:r w:rsidRPr="008313D5">
              <w:rPr>
                <w:rFonts w:hint="eastAsia"/>
                <w:rtl/>
              </w:rPr>
              <w:t xml:space="preserve">– </w:t>
            </w:r>
            <w:r w:rsidRPr="008313D5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מי</w:t>
            </w:r>
            <w:r w:rsidRPr="008313D5">
              <w:rPr>
                <w:rFonts w:hint="cs"/>
                <w:rtl/>
              </w:rPr>
              <w:t xml:space="preserve"> שטרם מלאו לו 19 שנים"</w:t>
            </w:r>
            <w:r>
              <w:rPr>
                <w:rFonts w:hint="cs"/>
                <w:rtl/>
              </w:rPr>
              <w:t>;</w:t>
            </w:r>
          </w:p>
        </w:tc>
      </w:tr>
      <w:tr w:rsidR="00096958" w:rsidTr="003E6A7F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:rsidR="00096958" w:rsidRDefault="00096958">
            <w:pPr>
              <w:pStyle w:val="TableSideHeading"/>
            </w:pPr>
          </w:p>
        </w:tc>
        <w:tc>
          <w:tcPr>
            <w:tcW w:w="624" w:type="dxa"/>
          </w:tcPr>
          <w:p w:rsidR="00096958" w:rsidRDefault="00096958" w:rsidP="00096958">
            <w:pPr>
              <w:pStyle w:val="TableText"/>
            </w:pPr>
          </w:p>
        </w:tc>
        <w:tc>
          <w:tcPr>
            <w:tcW w:w="7143" w:type="dxa"/>
          </w:tcPr>
          <w:p w:rsidR="00096958" w:rsidRPr="008313D5" w:rsidRDefault="00096958" w:rsidP="00096958">
            <w:pPr>
              <w:pStyle w:val="TableBlock"/>
              <w:rPr>
                <w:rtl/>
              </w:rPr>
            </w:pPr>
            <w:r w:rsidRPr="008313D5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 w:rsidRPr="008313D5">
              <w:rPr>
                <w:rFonts w:hint="cs"/>
                <w:rtl/>
              </w:rPr>
              <w:t>)</w:t>
            </w:r>
            <w:r w:rsidRPr="008313D5">
              <w:rPr>
                <w:rtl/>
              </w:rPr>
              <w:tab/>
            </w:r>
            <w:r>
              <w:rPr>
                <w:rFonts w:hint="cs"/>
                <w:rtl/>
              </w:rPr>
              <w:t>מיום</w:t>
            </w:r>
            <w:r w:rsidRPr="008313D5">
              <w:rPr>
                <w:rFonts w:hint="cs"/>
                <w:rtl/>
              </w:rPr>
              <w:t xml:space="preserve"> כ"ד בטבת </w:t>
            </w:r>
            <w:proofErr w:type="spellStart"/>
            <w:r w:rsidRPr="008313D5">
              <w:rPr>
                <w:rFonts w:hint="cs"/>
                <w:rtl/>
              </w:rPr>
              <w:t>התשע"ט</w:t>
            </w:r>
            <w:proofErr w:type="spellEnd"/>
            <w:r w:rsidRPr="008313D5">
              <w:rPr>
                <w:rFonts w:hint="cs"/>
                <w:rtl/>
              </w:rPr>
              <w:t xml:space="preserve"> (1 בינואר 2019) </w:t>
            </w:r>
            <w:r w:rsidRPr="008313D5">
              <w:rPr>
                <w:rFonts w:hint="eastAsia"/>
                <w:rtl/>
              </w:rPr>
              <w:t>–</w:t>
            </w:r>
            <w:r w:rsidRPr="008313D5">
              <w:rPr>
                <w:rFonts w:hint="cs"/>
                <w:rtl/>
              </w:rPr>
              <w:t xml:space="preserve"> ל</w:t>
            </w:r>
            <w:r>
              <w:rPr>
                <w:rFonts w:hint="cs"/>
                <w:rtl/>
              </w:rPr>
              <w:t xml:space="preserve">מי </w:t>
            </w:r>
            <w:r w:rsidRPr="008313D5">
              <w:rPr>
                <w:rFonts w:hint="cs"/>
                <w:rtl/>
              </w:rPr>
              <w:t>שטרם מלאו לו 20 שנים</w:t>
            </w:r>
            <w:r>
              <w:rPr>
                <w:rFonts w:hint="cs"/>
                <w:rtl/>
              </w:rPr>
              <w:t>".</w:t>
            </w:r>
          </w:p>
        </w:tc>
      </w:tr>
    </w:tbl>
    <w:p w:rsidR="0011725D" w:rsidRPr="00E812D9" w:rsidRDefault="0011725D" w:rsidP="00E812D9">
      <w:pPr>
        <w:pStyle w:val="HeadDivreiHesber"/>
        <w:rPr>
          <w:rtl/>
        </w:rPr>
      </w:pPr>
      <w:r w:rsidRPr="00E812D9">
        <w:rPr>
          <w:rFonts w:hint="cs"/>
          <w:rtl/>
        </w:rPr>
        <w:t>דברי הסבר</w:t>
      </w:r>
    </w:p>
    <w:p w:rsidR="0011725D" w:rsidRPr="00E812D9" w:rsidRDefault="0011725D" w:rsidP="006D55FB">
      <w:pPr>
        <w:pStyle w:val="Hesber"/>
        <w:rPr>
          <w:rtl/>
        </w:rPr>
      </w:pPr>
      <w:r w:rsidRPr="00E812D9">
        <w:rPr>
          <w:rtl/>
        </w:rPr>
        <w:t xml:space="preserve">מטרתה של הצעת החוק </w:t>
      </w:r>
      <w:r w:rsidR="006D55FB">
        <w:rPr>
          <w:rFonts w:hint="cs"/>
          <w:rtl/>
        </w:rPr>
        <w:t xml:space="preserve">היא </w:t>
      </w:r>
      <w:r w:rsidRPr="00E812D9">
        <w:rPr>
          <w:rtl/>
        </w:rPr>
        <w:t>לצמצם את העישון ונזקיו בישראל, על ידי מניעה וצמצום של העישון בקרב בני נוער.</w:t>
      </w:r>
      <w:r w:rsidR="007E40A0" w:rsidRPr="00E812D9">
        <w:t xml:space="preserve"> </w:t>
      </w:r>
      <w:r w:rsidR="00F40D43">
        <w:rPr>
          <w:rFonts w:hint="cs"/>
          <w:rtl/>
        </w:rPr>
        <w:t>מדו</w:t>
      </w:r>
      <w:r w:rsidR="00DC3A98" w:rsidRPr="00E812D9">
        <w:rPr>
          <w:rFonts w:hint="cs"/>
          <w:rtl/>
        </w:rPr>
        <w:t>ח נטל העישון בישראל לשנת 2014, כפי שפורסם בכתב העת לחקר מדיניות הבריאות ביש</w:t>
      </w:r>
      <w:r w:rsidR="006D55FB">
        <w:rPr>
          <w:rFonts w:hint="cs"/>
          <w:rtl/>
        </w:rPr>
        <w:t>ר</w:t>
      </w:r>
      <w:r w:rsidR="00DC3A98" w:rsidRPr="00E812D9">
        <w:rPr>
          <w:rFonts w:hint="cs"/>
          <w:rtl/>
        </w:rPr>
        <w:t xml:space="preserve">אל,  עולה כי </w:t>
      </w:r>
      <w:r w:rsidRPr="00E812D9">
        <w:rPr>
          <w:rtl/>
        </w:rPr>
        <w:t xml:space="preserve">העישון בישראל גובה את חייהם של כ-8,000 </w:t>
      </w:r>
      <w:r w:rsidR="00FF1628" w:rsidRPr="00E812D9">
        <w:rPr>
          <w:rtl/>
        </w:rPr>
        <w:t>בני אדם</w:t>
      </w:r>
      <w:r w:rsidRPr="00E812D9">
        <w:rPr>
          <w:rtl/>
        </w:rPr>
        <w:t xml:space="preserve">, מהם כ-800 </w:t>
      </w:r>
      <w:r w:rsidR="00FF1628" w:rsidRPr="00E812D9">
        <w:rPr>
          <w:rtl/>
        </w:rPr>
        <w:t xml:space="preserve">כתוצאה מעישון פסיבי. </w:t>
      </w:r>
    </w:p>
    <w:p w:rsidR="0011725D" w:rsidRPr="00E812D9" w:rsidRDefault="0011725D" w:rsidP="00E812D9">
      <w:pPr>
        <w:pStyle w:val="Hesber"/>
        <w:rPr>
          <w:rtl/>
        </w:rPr>
      </w:pPr>
      <w:r w:rsidRPr="00E812D9">
        <w:rPr>
          <w:rtl/>
        </w:rPr>
        <w:t xml:space="preserve">רובם הגדול של המעשנים מתחילים להתנסות בעישון ומתמכרים כשהם בני נוער, </w:t>
      </w:r>
      <w:r w:rsidR="00FF1628" w:rsidRPr="00E812D9">
        <w:rPr>
          <w:rtl/>
        </w:rPr>
        <w:t>הבחירה להתנסות בעישון נובעת בין</w:t>
      </w:r>
      <w:r w:rsidRPr="00E812D9">
        <w:rPr>
          <w:rtl/>
        </w:rPr>
        <w:t xml:space="preserve"> השאר ב</w:t>
      </w:r>
      <w:r w:rsidR="00FF1628" w:rsidRPr="00E812D9">
        <w:rPr>
          <w:rtl/>
        </w:rPr>
        <w:t>של לחצים חברתיים.</w:t>
      </w:r>
    </w:p>
    <w:p w:rsidR="0011725D" w:rsidRPr="00E812D9" w:rsidRDefault="0011725D" w:rsidP="00E812D9">
      <w:pPr>
        <w:pStyle w:val="Hesber"/>
        <w:rPr>
          <w:rtl/>
        </w:rPr>
      </w:pPr>
      <w:r w:rsidRPr="00E812D9">
        <w:rPr>
          <w:rtl/>
        </w:rPr>
        <w:t xml:space="preserve">למרות שאיסור מכירה לקטינים </w:t>
      </w:r>
      <w:r w:rsidR="00096958" w:rsidRPr="00E812D9">
        <w:rPr>
          <w:rtl/>
        </w:rPr>
        <w:t>נתפס כטבעי והכרחי, רק בשנת 2004</w:t>
      </w:r>
      <w:r w:rsidRPr="00E812D9">
        <w:rPr>
          <w:rtl/>
        </w:rPr>
        <w:t xml:space="preserve"> נקבע בחוק הגבלת הפרסומת והשיווק של מוצרי טבק</w:t>
      </w:r>
      <w:r w:rsidR="00FF1628" w:rsidRPr="00E812D9">
        <w:rPr>
          <w:rtl/>
        </w:rPr>
        <w:t xml:space="preserve">, </w:t>
      </w:r>
      <w:proofErr w:type="spellStart"/>
      <w:r w:rsidR="00FF1628" w:rsidRPr="00E812D9">
        <w:rPr>
          <w:rtl/>
        </w:rPr>
        <w:t>התשמ"ג</w:t>
      </w:r>
      <w:proofErr w:type="spellEnd"/>
      <w:r w:rsidR="00FF1628" w:rsidRPr="00E812D9">
        <w:rPr>
          <w:rtl/>
        </w:rPr>
        <w:t xml:space="preserve">–1983, איסור מכירת </w:t>
      </w:r>
      <w:r w:rsidRPr="00E812D9">
        <w:rPr>
          <w:rtl/>
        </w:rPr>
        <w:t>מוצרי טבק למי שטרם מלאו לו 18, במטרה לצמצם</w:t>
      </w:r>
      <w:r w:rsidR="00FF1628" w:rsidRPr="00E812D9">
        <w:rPr>
          <w:rtl/>
        </w:rPr>
        <w:t xml:space="preserve"> את נגישות בני הנוער למוצרי טבק.</w:t>
      </w:r>
    </w:p>
    <w:p w:rsidR="00FC273A" w:rsidRPr="00E812D9" w:rsidRDefault="00DC3A98" w:rsidP="00E812D9">
      <w:pPr>
        <w:pStyle w:val="Hesber"/>
        <w:rPr>
          <w:rtl/>
        </w:rPr>
      </w:pPr>
      <w:r w:rsidRPr="00E812D9">
        <w:rPr>
          <w:rFonts w:hint="cs"/>
          <w:rtl/>
        </w:rPr>
        <w:t xml:space="preserve">מחקר </w:t>
      </w:r>
      <w:r w:rsidR="00FC273A" w:rsidRPr="00E812D9">
        <w:rPr>
          <w:rFonts w:hint="cs"/>
          <w:rtl/>
        </w:rPr>
        <w:t>לעניין עישון במהלך השירות הצבאי שנערך בין השנים 1987-2011 באוניברסיטת תל אביב, מצביע על</w:t>
      </w:r>
      <w:r w:rsidRPr="00E812D9">
        <w:rPr>
          <w:rFonts w:hint="cs"/>
          <w:rtl/>
        </w:rPr>
        <w:t xml:space="preserve"> </w:t>
      </w:r>
      <w:r w:rsidR="0011725D" w:rsidRPr="00E812D9">
        <w:rPr>
          <w:rtl/>
        </w:rPr>
        <w:t xml:space="preserve"> עליה של כ-18% בעת העישון בצבא, וכ-56% מבני הנוער שהתנסו בעישון והפסיקו לעשן לפני הגיוס, יחזרו לעשן במהלך השירות הצבאי. </w:t>
      </w:r>
    </w:p>
    <w:p w:rsidR="0011725D" w:rsidRPr="00E812D9" w:rsidRDefault="0011725D" w:rsidP="00E812D9">
      <w:pPr>
        <w:pStyle w:val="Hesber"/>
        <w:rPr>
          <w:rtl/>
        </w:rPr>
      </w:pPr>
      <w:r w:rsidRPr="00E812D9">
        <w:rPr>
          <w:rtl/>
        </w:rPr>
        <w:t xml:space="preserve">נתונים קשים אלו מעידים כי </w:t>
      </w:r>
      <w:proofErr w:type="spellStart"/>
      <w:r w:rsidRPr="00E812D9">
        <w:rPr>
          <w:rtl/>
        </w:rPr>
        <w:t>הנגשת</w:t>
      </w:r>
      <w:proofErr w:type="spellEnd"/>
      <w:r w:rsidRPr="00E812D9">
        <w:rPr>
          <w:rtl/>
        </w:rPr>
        <w:t xml:space="preserve"> מוצרי הטבק לבני 18 מהווה גורם סיכון להתחלת עישון, התמכרות וחזרה לעישון. </w:t>
      </w:r>
    </w:p>
    <w:p w:rsidR="0011725D" w:rsidRPr="00E812D9" w:rsidRDefault="0011725D" w:rsidP="00E812D9">
      <w:pPr>
        <w:pStyle w:val="Hesber"/>
        <w:rPr>
          <w:rtl/>
        </w:rPr>
      </w:pPr>
      <w:r w:rsidRPr="00E812D9">
        <w:rPr>
          <w:rtl/>
        </w:rPr>
        <w:t xml:space="preserve">העלאת גיל מכירת מוצרי טבק היא מגמה מתרחבת בארה"ב מזה כארבע שנים, ומספר מדינות בהם קליפורניה והוואי, ומאות מחוזות, בהם העיר ניו יורק, בוסטון, סן פרנסיסקו  </w:t>
      </w:r>
      <w:proofErr w:type="spellStart"/>
      <w:r w:rsidRPr="00E812D9">
        <w:rPr>
          <w:rtl/>
        </w:rPr>
        <w:t>קליבלנד</w:t>
      </w:r>
      <w:proofErr w:type="spellEnd"/>
      <w:r w:rsidRPr="00E812D9">
        <w:rPr>
          <w:rtl/>
        </w:rPr>
        <w:t xml:space="preserve"> ועוד, כבר העלו את גיל מכירת מוצרי הטבק ל-21, בסה"כ האיסור מכסה כבר למעלה מ-60 מיליון איש ברחבי ארה"ב, וממחקרי הערכה בארה"ב עולה שהשפעת העלאת גיל איסור המכירה ל-21 הביאה לצמצום של כ-50% בשיעור העישון בקרב בני הנוער.</w:t>
      </w:r>
      <w:r w:rsidR="00FF1628" w:rsidRPr="00E812D9">
        <w:rPr>
          <w:rtl/>
        </w:rPr>
        <w:t xml:space="preserve"> </w:t>
      </w:r>
    </w:p>
    <w:p w:rsidR="00E33135" w:rsidRPr="00E812D9" w:rsidRDefault="0011725D" w:rsidP="00E812D9">
      <w:pPr>
        <w:pStyle w:val="Hesber"/>
        <w:rPr>
          <w:rtl/>
        </w:rPr>
      </w:pPr>
      <w:r w:rsidRPr="00E812D9">
        <w:rPr>
          <w:rtl/>
        </w:rPr>
        <w:t>העלאת גיל איסור מכירת מוצרי טבק ת</w:t>
      </w:r>
      <w:r w:rsidR="00E33135" w:rsidRPr="00E812D9">
        <w:rPr>
          <w:rtl/>
        </w:rPr>
        <w:t xml:space="preserve">וביל </w:t>
      </w:r>
      <w:r w:rsidRPr="00E812D9">
        <w:rPr>
          <w:rtl/>
        </w:rPr>
        <w:t>ל</w:t>
      </w:r>
      <w:r w:rsidR="00E33135" w:rsidRPr="00E812D9">
        <w:rPr>
          <w:rtl/>
        </w:rPr>
        <w:t>צמצום משמעותי</w:t>
      </w:r>
      <w:r w:rsidRPr="00E812D9">
        <w:rPr>
          <w:rtl/>
        </w:rPr>
        <w:t xml:space="preserve"> </w:t>
      </w:r>
      <w:r w:rsidR="00E33135" w:rsidRPr="00E812D9">
        <w:rPr>
          <w:rtl/>
        </w:rPr>
        <w:t>ב</w:t>
      </w:r>
      <w:r w:rsidRPr="00E812D9">
        <w:rPr>
          <w:rtl/>
        </w:rPr>
        <w:t>נגישות בני הנוער למוצרי טבק, ותצטרף לצעדים נוספים שאומצו בשנים האחרונות לצמצום העישון בקרב בני הנוער בכל</w:t>
      </w:r>
      <w:r w:rsidR="00E33135" w:rsidRPr="00E812D9">
        <w:rPr>
          <w:rtl/>
        </w:rPr>
        <w:t xml:space="preserve">ל וצמצום הנגישות שלהם לטבק בפרט. </w:t>
      </w:r>
    </w:p>
    <w:p w:rsidR="0011725D" w:rsidRDefault="005F7C70" w:rsidP="00E812D9">
      <w:pPr>
        <w:pStyle w:val="Hesber"/>
        <w:rPr>
          <w:rtl/>
        </w:rPr>
      </w:pPr>
      <w:r w:rsidRPr="00E812D9">
        <w:rPr>
          <w:rFonts w:hint="cs"/>
          <w:rtl/>
        </w:rPr>
        <w:t xml:space="preserve">כמו כן, </w:t>
      </w:r>
      <w:r w:rsidR="00E33135" w:rsidRPr="00E812D9">
        <w:rPr>
          <w:rtl/>
        </w:rPr>
        <w:t>מוצע לקבוע איסור מכירה,</w:t>
      </w:r>
      <w:r w:rsidR="00E33135" w:rsidRPr="00E812D9">
        <w:t xml:space="preserve"> </w:t>
      </w:r>
      <w:r w:rsidR="00E33135" w:rsidRPr="00E812D9">
        <w:rPr>
          <w:rtl/>
        </w:rPr>
        <w:t xml:space="preserve">השכרה או השאלה של מוצר טבק או מוצר המשמש לעישון, למי שטרם מלאו לו 21 </w:t>
      </w:r>
      <w:r w:rsidR="0011725D" w:rsidRPr="00E812D9">
        <w:rPr>
          <w:rtl/>
        </w:rPr>
        <w:t>שנים</w:t>
      </w:r>
      <w:r w:rsidR="00E33135" w:rsidRPr="00E812D9">
        <w:rPr>
          <w:rtl/>
        </w:rPr>
        <w:t xml:space="preserve">, החל משנת 2020 ולפרוס את תקופת ההסתגלות לתיקון המוצע.  </w:t>
      </w:r>
      <w:r w:rsidR="0011725D" w:rsidRPr="00E812D9">
        <w:rPr>
          <w:rtl/>
        </w:rPr>
        <w:t xml:space="preserve"> </w:t>
      </w:r>
    </w:p>
    <w:p w:rsidR="006D55FB" w:rsidRDefault="006D55FB" w:rsidP="00E812D9">
      <w:pPr>
        <w:pStyle w:val="Hesber"/>
        <w:rPr>
          <w:rtl/>
        </w:rPr>
      </w:pPr>
    </w:p>
    <w:p w:rsidR="006D55FB" w:rsidRPr="00D73212" w:rsidRDefault="006D55FB" w:rsidP="006D55FB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:rsidR="006D55FB" w:rsidRPr="00D73212" w:rsidRDefault="006D55FB" w:rsidP="006D55F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:rsidR="006D55FB" w:rsidRPr="00D73212" w:rsidRDefault="006D55FB" w:rsidP="006D55FB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:rsidR="006D55FB" w:rsidRPr="00317312" w:rsidRDefault="006D55FB" w:rsidP="006D55FB">
      <w:pPr>
        <w:pStyle w:val="Hesber"/>
      </w:pPr>
      <w:r>
        <w:rPr>
          <w:rFonts w:hint="cs"/>
          <w:color w:val="auto"/>
          <w:rtl/>
          <w:lang w:eastAsia="en-US"/>
        </w:rPr>
        <w:t>ג' באב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proofErr w:type="spellEnd"/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26.7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:rsidR="006D55FB" w:rsidRPr="00E812D9" w:rsidRDefault="006D55FB" w:rsidP="00E812D9">
      <w:pPr>
        <w:pStyle w:val="Hesber"/>
        <w:rPr>
          <w:rtl/>
        </w:rPr>
      </w:pPr>
    </w:p>
    <w:sectPr w:rsidR="006D55FB" w:rsidRPr="00E812D9" w:rsidSect="0029140B">
      <w:footerReference w:type="even" r:id="rId11"/>
      <w:footerReference w:type="default" r:id="rId12"/>
      <w:pgSz w:w="11907" w:h="16840" w:code="9"/>
      <w:pgMar w:top="851" w:right="1134" w:bottom="568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F9" w:rsidRDefault="00EA03F9">
      <w:r>
        <w:separator/>
      </w:r>
    </w:p>
  </w:endnote>
  <w:endnote w:type="continuationSeparator" w:id="0">
    <w:p w:rsidR="00EA03F9" w:rsidRDefault="00EA03F9">
      <w:r>
        <w:continuationSeparator/>
      </w:r>
    </w:p>
  </w:endnote>
  <w:endnote w:type="continuationNotice" w:id="1">
    <w:p w:rsidR="00EA03F9" w:rsidRDefault="00EA03F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29140B">
      <w:rPr>
        <w:rStyle w:val="ab"/>
        <w:noProof/>
        <w:rtl/>
      </w:rPr>
      <w:t>3</w:t>
    </w:r>
    <w:r>
      <w:rPr>
        <w:rStyle w:val="ab"/>
        <w:rtl/>
      </w:rPr>
      <w:fldChar w:fldCharType="end"/>
    </w:r>
  </w:p>
  <w:p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5B67F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F9" w:rsidRDefault="00EA03F9">
      <w:r>
        <w:separator/>
      </w:r>
    </w:p>
  </w:footnote>
  <w:footnote w:type="continuationSeparator" w:id="0">
    <w:p w:rsidR="00EA03F9" w:rsidRDefault="00EA03F9">
      <w:r>
        <w:continuationSeparator/>
      </w:r>
    </w:p>
  </w:footnote>
  <w:footnote w:type="continuationNotice" w:id="1">
    <w:p w:rsidR="00EA03F9" w:rsidRDefault="00EA03F9"/>
  </w:footnote>
  <w:footnote w:id="2">
    <w:p w:rsidR="000C2765" w:rsidRDefault="000C2765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התשמ"ג</w:t>
      </w:r>
      <w:proofErr w:type="spellEnd"/>
      <w:r>
        <w:rPr>
          <w:rFonts w:hint="cs"/>
          <w:rtl/>
        </w:rPr>
        <w:t>, עמ' 38.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97152"/>
    <w:multiLevelType w:val="hybridMultilevel"/>
    <w:tmpl w:val="DB365250"/>
    <w:lvl w:ilvl="0" w:tplc="5630CDF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5B56"/>
    <w:rsid w:val="00063A3E"/>
    <w:rsid w:val="00072CAC"/>
    <w:rsid w:val="0007681A"/>
    <w:rsid w:val="00096958"/>
    <w:rsid w:val="000A542E"/>
    <w:rsid w:val="000C2765"/>
    <w:rsid w:val="000D2FAF"/>
    <w:rsid w:val="00102B6B"/>
    <w:rsid w:val="001052D4"/>
    <w:rsid w:val="0010644B"/>
    <w:rsid w:val="0011725D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140B"/>
    <w:rsid w:val="00292712"/>
    <w:rsid w:val="002A487D"/>
    <w:rsid w:val="002C060E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F254D"/>
    <w:rsid w:val="004033D8"/>
    <w:rsid w:val="004073F0"/>
    <w:rsid w:val="00412A7D"/>
    <w:rsid w:val="00416B4D"/>
    <w:rsid w:val="00417CFC"/>
    <w:rsid w:val="00495CC4"/>
    <w:rsid w:val="004A06DC"/>
    <w:rsid w:val="004B24ED"/>
    <w:rsid w:val="004B6625"/>
    <w:rsid w:val="004D2D82"/>
    <w:rsid w:val="004D3876"/>
    <w:rsid w:val="004E4552"/>
    <w:rsid w:val="004E6CDF"/>
    <w:rsid w:val="00537FBA"/>
    <w:rsid w:val="00553C9D"/>
    <w:rsid w:val="00562A66"/>
    <w:rsid w:val="005B064E"/>
    <w:rsid w:val="005B67F1"/>
    <w:rsid w:val="005D51AE"/>
    <w:rsid w:val="005F7C70"/>
    <w:rsid w:val="0062674B"/>
    <w:rsid w:val="006363B2"/>
    <w:rsid w:val="00644940"/>
    <w:rsid w:val="006818A9"/>
    <w:rsid w:val="006A2D81"/>
    <w:rsid w:val="006C1D0D"/>
    <w:rsid w:val="006D55FB"/>
    <w:rsid w:val="0070275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40A0"/>
    <w:rsid w:val="007E59F9"/>
    <w:rsid w:val="00810BCD"/>
    <w:rsid w:val="00812C98"/>
    <w:rsid w:val="00814D92"/>
    <w:rsid w:val="008313D5"/>
    <w:rsid w:val="0083181D"/>
    <w:rsid w:val="00843EB2"/>
    <w:rsid w:val="00860C69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525DD"/>
    <w:rsid w:val="00C9176A"/>
    <w:rsid w:val="00CF1AA2"/>
    <w:rsid w:val="00D17774"/>
    <w:rsid w:val="00D22709"/>
    <w:rsid w:val="00D36728"/>
    <w:rsid w:val="00D62C51"/>
    <w:rsid w:val="00D63620"/>
    <w:rsid w:val="00D8410D"/>
    <w:rsid w:val="00D867D7"/>
    <w:rsid w:val="00D87F67"/>
    <w:rsid w:val="00DB7060"/>
    <w:rsid w:val="00DC3A98"/>
    <w:rsid w:val="00DE3153"/>
    <w:rsid w:val="00E06736"/>
    <w:rsid w:val="00E13C27"/>
    <w:rsid w:val="00E33135"/>
    <w:rsid w:val="00E33BBD"/>
    <w:rsid w:val="00E374F2"/>
    <w:rsid w:val="00E45103"/>
    <w:rsid w:val="00E55A60"/>
    <w:rsid w:val="00E62778"/>
    <w:rsid w:val="00E63D38"/>
    <w:rsid w:val="00E665B9"/>
    <w:rsid w:val="00E812D9"/>
    <w:rsid w:val="00EA01E6"/>
    <w:rsid w:val="00EA03F9"/>
    <w:rsid w:val="00EA3DE8"/>
    <w:rsid w:val="00EA758F"/>
    <w:rsid w:val="00ED4A6F"/>
    <w:rsid w:val="00EF3A3A"/>
    <w:rsid w:val="00F40D43"/>
    <w:rsid w:val="00F440A8"/>
    <w:rsid w:val="00F628D6"/>
    <w:rsid w:val="00F67051"/>
    <w:rsid w:val="00F85F4B"/>
    <w:rsid w:val="00F86A1E"/>
    <w:rsid w:val="00FA5E88"/>
    <w:rsid w:val="00FC273A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A8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F440A8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F440A8"/>
    <w:rPr>
      <w:sz w:val="36"/>
      <w:szCs w:val="52"/>
    </w:rPr>
  </w:style>
  <w:style w:type="paragraph" w:customStyle="1" w:styleId="Cover3-Haknesset">
    <w:name w:val="Cover 3-Haknesset"/>
    <w:basedOn w:val="Cover1-Reshumot"/>
    <w:rsid w:val="00F440A8"/>
    <w:rPr>
      <w:b/>
      <w:bCs/>
      <w:spacing w:val="60"/>
    </w:rPr>
  </w:style>
  <w:style w:type="paragraph" w:customStyle="1" w:styleId="Cover4-Date">
    <w:name w:val="Cover 4-Date"/>
    <w:basedOn w:val="a"/>
    <w:rsid w:val="00F440A8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F440A8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F440A8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F440A8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F440A8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F440A8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F440A8"/>
  </w:style>
  <w:style w:type="paragraph" w:customStyle="1" w:styleId="TableBlock">
    <w:name w:val="Table Block"/>
    <w:basedOn w:val="TableText"/>
    <w:rsid w:val="00F440A8"/>
    <w:pPr>
      <w:ind w:right="0"/>
      <w:jc w:val="both"/>
    </w:pPr>
  </w:style>
  <w:style w:type="paragraph" w:customStyle="1" w:styleId="TableHead">
    <w:name w:val="Table Head"/>
    <w:basedOn w:val="TableText"/>
    <w:rsid w:val="00F440A8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F440A8"/>
  </w:style>
  <w:style w:type="paragraph" w:customStyle="1" w:styleId="Hesber">
    <w:name w:val="Hesber"/>
    <w:basedOn w:val="a"/>
    <w:rsid w:val="00F440A8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F440A8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F440A8"/>
    <w:rPr>
      <w:vertAlign w:val="superscript"/>
    </w:rPr>
  </w:style>
  <w:style w:type="paragraph" w:customStyle="1" w:styleId="HesberHeading">
    <w:name w:val="Hesber Heading"/>
    <w:basedOn w:val="Hesber"/>
    <w:rsid w:val="00F440A8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F440A8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F440A8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F440A8"/>
    <w:rPr>
      <w:vertAlign w:val="superscript"/>
    </w:rPr>
  </w:style>
  <w:style w:type="paragraph" w:customStyle="1" w:styleId="TableBlockOutdent">
    <w:name w:val="Table BlockOutdent"/>
    <w:basedOn w:val="TableBlock"/>
    <w:rsid w:val="00F440A8"/>
    <w:pPr>
      <w:ind w:left="624" w:hanging="624"/>
    </w:pPr>
  </w:style>
  <w:style w:type="paragraph" w:styleId="a8">
    <w:name w:val="header"/>
    <w:basedOn w:val="a"/>
    <w:rsid w:val="00F440A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F440A8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F440A8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F440A8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F440A8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rsid w:val="0011725D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11725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50CB65-A256-48B7-A557-35DF5AB36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CFF215-FEA3-4C5C-88F9-00402503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469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17</cp:revision>
  <cp:lastPrinted>2017-07-25T15:28:00Z</cp:lastPrinted>
  <dcterms:created xsi:type="dcterms:W3CDTF">2015-04-20T09:58:00Z</dcterms:created>
  <dcterms:modified xsi:type="dcterms:W3CDTF">2017-07-25T15:52:00Z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2019836</vt:r8>
  </property>
</Properties>
</file>